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1"/>
        <w:ind w:hanging="0" w:left="0" w:right="-2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  <w:lang w:val="ru-RU" w:eastAsia="ru-RU"/>
        </w:rPr>
      </w:pPr>
      <w:r>
        <w:rPr>
          <w:b/>
          <w:bCs/>
          <w:sz w:val="28"/>
          <w:szCs w:val="28"/>
          <w:shd w:fill="auto" w:val="clear"/>
          <w:lang w:val="ru-RU" w:eastAsia="ru-RU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/>
        <w:drawing>
          <wp:inline distT="0" distB="0" distL="0" distR="0">
            <wp:extent cx="570230" cy="91440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16" t="-197" r="-316" b="-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sz w:val="28"/>
          <w:szCs w:val="28"/>
          <w:shd w:fill="auto" w:val="clear"/>
        </w:rPr>
        <w:t>СЧЕТНАЯ  ПАЛАТА</w:t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sz w:val="28"/>
          <w:szCs w:val="28"/>
          <w:shd w:fill="auto" w:val="clear"/>
        </w:rPr>
        <w:t>МУНИЦИПАЛЬНОГО   ОКРУГА  КРАСНОУРАЛЬСК</w:t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  <w:t>ОТЧЕТ</w:t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  <w:t>о деятельности Контрольного органа</w:t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  <w:t xml:space="preserve">городского округа Красноуральск </w:t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  <w:t>за 2024 год</w:t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  <w:t>Красноуральск</w:t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  <w:t>Содержание</w:t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tbl>
      <w:tblPr>
        <w:tblW w:w="9931" w:type="dxa"/>
        <w:jc w:val="left"/>
        <w:tblInd w:w="-1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453"/>
        <w:gridCol w:w="1803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bCs/>
                <w:sz w:val="26"/>
                <w:szCs w:val="26"/>
                <w:shd w:fill="auto" w:val="clear"/>
              </w:rPr>
              <w:t xml:space="preserve">№ </w:t>
            </w:r>
            <w:r>
              <w:rPr>
                <w:bCs/>
                <w:sz w:val="26"/>
                <w:szCs w:val="26"/>
                <w:shd w:fill="auto" w:val="clear"/>
              </w:rPr>
              <w:t>п.п.</w:t>
            </w:r>
          </w:p>
          <w:p>
            <w:pPr>
              <w:pStyle w:val="Normal"/>
              <w:widowControl w:val="false"/>
              <w:jc w:val="center"/>
              <w:rPr>
                <w:bCs/>
                <w:sz w:val="26"/>
                <w:szCs w:val="26"/>
                <w:highlight w:val="none"/>
                <w:shd w:fill="auto" w:val="clear"/>
              </w:rPr>
            </w:pPr>
            <w:r>
              <w:rPr>
                <w:bCs/>
                <w:sz w:val="26"/>
                <w:szCs w:val="26"/>
                <w:shd w:fill="auto" w:val="clear"/>
              </w:rPr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6"/>
                <w:szCs w:val="26"/>
                <w:highlight w:val="none"/>
                <w:shd w:fill="auto" w:val="clear"/>
              </w:rPr>
            </w:pPr>
            <w:r>
              <w:rPr>
                <w:bCs/>
                <w:sz w:val="26"/>
                <w:szCs w:val="26"/>
                <w:shd w:fill="auto" w:val="clear"/>
              </w:rPr>
            </w:r>
          </w:p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bCs/>
                <w:sz w:val="26"/>
                <w:szCs w:val="26"/>
                <w:shd w:fill="auto" w:val="clear"/>
              </w:rPr>
              <w:t>Наименование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6"/>
                <w:szCs w:val="26"/>
                <w:highlight w:val="none"/>
                <w:shd w:fill="auto" w:val="clear"/>
              </w:rPr>
            </w:pPr>
            <w:r>
              <w:rPr>
                <w:bCs/>
                <w:sz w:val="26"/>
                <w:szCs w:val="26"/>
                <w:shd w:fill="auto" w:val="clear"/>
              </w:rPr>
            </w:r>
          </w:p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before="0" w:after="0"/>
              <w:ind w:hanging="0" w:left="57" w:right="340"/>
              <w:jc w:val="center"/>
              <w:rPr>
                <w:highlight w:val="none"/>
                <w:shd w:fill="auto" w:val="clear"/>
              </w:rPr>
            </w:pPr>
            <w:r>
              <w:rPr>
                <w:bCs/>
                <w:sz w:val="26"/>
                <w:szCs w:val="26"/>
                <w:shd w:fill="auto" w:val="clear"/>
              </w:rPr>
              <w:t>Страница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1</w:t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Общие положения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3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2</w:t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Основные направления  деятельности и итоги</w:t>
            </w:r>
            <w:r>
              <w:rPr>
                <w:sz w:val="28"/>
                <w:szCs w:val="28"/>
                <w:shd w:fill="auto" w:val="clear"/>
                <w:lang w:val="en-US"/>
              </w:rPr>
              <w:t xml:space="preserve"> </w:t>
            </w:r>
            <w:r>
              <w:rPr>
                <w:sz w:val="28"/>
                <w:szCs w:val="28"/>
                <w:shd w:fill="auto" w:val="clear"/>
                <w:lang w:val="ru-RU"/>
              </w:rPr>
              <w:t xml:space="preserve">работы </w:t>
            </w:r>
            <w:r>
              <w:rPr>
                <w:sz w:val="28"/>
                <w:szCs w:val="28"/>
                <w:shd w:fill="auto" w:val="clear"/>
              </w:rPr>
              <w:t>Контрольного органа городского округа Красноуральск в 2024 году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20" w:leader="none"/>
                <w:tab w:val="center" w:pos="533" w:leader="none"/>
              </w:tabs>
              <w:rPr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420" w:leader="none"/>
                <w:tab w:val="center" w:pos="533" w:leader="none"/>
              </w:tabs>
              <w:jc w:val="center"/>
              <w:rPr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4</w:t>
            </w:r>
          </w:p>
        </w:tc>
      </w:tr>
      <w:tr>
        <w:trPr>
          <w:trHeight w:val="40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2.1</w:t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результаты контрольных и экспертно-аналитических мероприятий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6</w:t>
            </w:r>
          </w:p>
        </w:tc>
      </w:tr>
      <w:tr>
        <w:trPr>
          <w:trHeight w:val="390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2.2</w:t>
            </w:r>
          </w:p>
        </w:tc>
        <w:tc>
          <w:tcPr>
            <w:tcW w:w="74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результаты иных мероприятий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8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3</w:t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Обеспечение деятельности и взаимодействие Контрольного органа городского округа Красноуральск с органами внешнего государственного и муниципального контроля, органами местного самоуправления, органами прокуратуры и правоохранительными органами,  иными органами и организациями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8</w:t>
            </w:r>
          </w:p>
        </w:tc>
      </w:tr>
      <w:tr>
        <w:trPr>
          <w:trHeight w:val="722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4</w:t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Основные направления деятельности Контрольного органа городского округа Красноуральск на 2025 год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  <w:t>10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Приложение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bCs/>
                <w:sz w:val="28"/>
                <w:szCs w:val="28"/>
                <w:shd w:fill="auto" w:val="clear"/>
              </w:rPr>
            </w:r>
          </w:p>
        </w:tc>
      </w:tr>
    </w:tbl>
    <w:p>
      <w:pPr>
        <w:pStyle w:val="Normal"/>
        <w:jc w:val="center"/>
        <w:rPr>
          <w:bCs/>
          <w:sz w:val="28"/>
          <w:szCs w:val="28"/>
          <w:highlight w:val="none"/>
          <w:shd w:fill="auto" w:val="clear"/>
        </w:rPr>
      </w:pPr>
      <w:r>
        <w:rPr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center"/>
        <w:rPr/>
      </w:pPr>
      <w:r>
        <w:rPr>
          <w:rStyle w:val="Strong"/>
          <w:sz w:val="28"/>
          <w:szCs w:val="28"/>
          <w:shd w:fill="auto" w:val="clear"/>
        </w:rPr>
        <w:t>1. Общие положения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/>
      </w:pPr>
      <w:r>
        <w:rPr>
          <w:rStyle w:val="Strong"/>
          <w:rFonts w:eastAsia="Calibri"/>
          <w:b w:val="false"/>
          <w:bCs w:val="false"/>
          <w:sz w:val="28"/>
          <w:szCs w:val="28"/>
          <w:shd w:fill="auto" w:val="clear"/>
          <w:lang w:val="ru-RU"/>
        </w:rPr>
        <w:t xml:space="preserve">Отчет о деятельности Контрольного органа городского округа Красноуральск за 2024 год (далее – Отчет)  подготовлен в соответствии со статьей 19 Федерального закона от 07.02.2011 № 6-ФЗ «Об общих принципах организации и деятельности  контрольно-счетных органов субъектов Российской Федерации, федеральных территорий и муниципальных образований» </w:t>
      </w:r>
      <w:r>
        <w:rPr>
          <w:rStyle w:val="Strong"/>
          <w:rFonts w:eastAsia="Calibri"/>
          <w:b w:val="false"/>
          <w:bCs w:val="false"/>
          <w:sz w:val="28"/>
          <w:szCs w:val="28"/>
          <w:shd w:fill="auto" w:val="clear"/>
          <w:lang w:val="ru-RU" w:eastAsia="en-US"/>
        </w:rPr>
        <w:t>(далее – Федеральный  закон № 6-ФЗ)</w:t>
      </w:r>
      <w:r>
        <w:rPr>
          <w:rStyle w:val="Strong"/>
          <w:rFonts w:eastAsia="Calibri"/>
          <w:b w:val="false"/>
          <w:bCs w:val="false"/>
          <w:sz w:val="28"/>
          <w:szCs w:val="28"/>
          <w:shd w:fill="auto" w:val="clear"/>
          <w:lang w:val="ru-RU"/>
        </w:rPr>
        <w:t>, со статьей 20 Положения о Контрольном органе городского округа Красноуральск, утвержденного решением Думы городского округа Красноуральск от  20.12.2021 № 349 (далее – Положение о Контрольном органе).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/>
      </w:pPr>
      <w:r>
        <w:rPr>
          <w:rStyle w:val="Strong"/>
          <w:rFonts w:eastAsia="Calibri"/>
          <w:b w:val="false"/>
          <w:bCs w:val="false"/>
          <w:sz w:val="28"/>
          <w:szCs w:val="28"/>
          <w:shd w:fill="auto" w:val="clear"/>
          <w:lang w:val="ru-RU" w:eastAsia="en-US"/>
        </w:rPr>
        <w:t>Отчет содержит информацию о результатах деятельности Контрольного органа городского округа Красноуральск по реализации полномочий, определенных законодательством Российской Федерации, Свердловской области и муниципальными правовыми актами.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Контрольный орган городского округа Красноуральск  (далее – Контрольный орган) является органом внешнего муниципального финансового контроля, входит в структуру органов местного самоуправления городского округа Красноуральск, обладает правами юридического лица.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 xml:space="preserve">Контрольный орган образован Думой городского округа Красноуральск и реализует свои полномочия в  соответствии с  Конституцией Российской Федерации, Бюджетным кодексом Российской Федерации (далее – БК РФ), Федеральным законом № 6-ФЗ, Законом Свердловской области от 12.07.2011    № 62-ОЗ «О Счетной палате Свердловской области и контрольно-счетных органах муниципальных образований, расположенных на территории Свердловской области», Уставом городского округа Красноуральск, утвержденным решением Думы городского округа Красноуральск от 20.05.2005 № 156 </w:t>
      </w:r>
      <w:r>
        <w:rPr>
          <w:rFonts w:eastAsia="Calibri"/>
          <w:sz w:val="28"/>
          <w:szCs w:val="28"/>
          <w:shd w:fill="auto" w:val="clear"/>
          <w:lang w:eastAsia="en-US"/>
        </w:rPr>
        <w:t>(далее - Устав)</w:t>
      </w:r>
      <w:r>
        <w:rPr>
          <w:rFonts w:eastAsia="Calibri"/>
          <w:sz w:val="28"/>
          <w:szCs w:val="28"/>
          <w:shd w:fill="auto" w:val="clear"/>
          <w:lang w:eastAsia="en-US"/>
        </w:rPr>
        <w:t>, а также локальными нормативными актами Контрольного органа.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Контрольный орган обладает организационной и функциональной независимостью и осуществляет свою деятельность самостоятельно.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Контрольный орган является членом Совета органов внешнего финансового контроля Свердловской области при Счетной палате Свердловской области.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Контрольные полномочия Контрольного органа распространяются на  органы местного самоуправления, муниципальные учреждения и муниципальные унитарные предприятия, на  иные организации, если они используют имущество, находящееся в собственности городского округа, а также на  иные организации, определенные статьей 266.1 БК РФ.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Отчет утвержден распоряжением Счетной палаты муниципального округа Красноуральск от 12.02.2025 № 7 и направлен в Думу муниципального округа Красноуральск.</w:t>
      </w:r>
    </w:p>
    <w:p>
      <w:pPr>
        <w:pStyle w:val="ListParagraph"/>
        <w:tabs>
          <w:tab w:val="clear" w:pos="720"/>
          <w:tab w:val="left" w:pos="0" w:leader="none"/>
        </w:tabs>
        <w:suppressAutoHyphens w:val="true"/>
        <w:overflowPunct w:val="true"/>
        <w:bidi w:val="0"/>
        <w:ind w:firstLine="567" w:left="0" w:right="0"/>
        <w:jc w:val="both"/>
        <w:rPr>
          <w:b/>
          <w:szCs w:val="28"/>
          <w:highlight w:val="none"/>
          <w:shd w:fill="auto" w:val="clear"/>
        </w:rPr>
      </w:pPr>
      <w:r>
        <w:rPr>
          <w:b/>
          <w:szCs w:val="28"/>
          <w:shd w:fill="auto" w:val="clear"/>
        </w:rPr>
      </w:r>
    </w:p>
    <w:p>
      <w:pPr>
        <w:pStyle w:val="ListParagraph"/>
        <w:tabs>
          <w:tab w:val="clear" w:pos="720"/>
          <w:tab w:val="left" w:pos="0" w:leader="none"/>
        </w:tabs>
        <w:suppressAutoHyphens w:val="true"/>
        <w:overflowPunct w:val="true"/>
        <w:bidi w:val="0"/>
        <w:ind w:firstLine="567" w:left="0" w:right="0"/>
        <w:jc w:val="both"/>
        <w:rPr>
          <w:b/>
          <w:szCs w:val="28"/>
          <w:highlight w:val="none"/>
          <w:shd w:fill="auto" w:val="clear"/>
        </w:rPr>
      </w:pPr>
      <w:r>
        <w:rPr>
          <w:b/>
          <w:szCs w:val="28"/>
          <w:shd w:fill="auto" w:val="clear"/>
        </w:rPr>
      </w:r>
    </w:p>
    <w:p>
      <w:pPr>
        <w:pStyle w:val="ListParagraph"/>
        <w:tabs>
          <w:tab w:val="clear" w:pos="720"/>
          <w:tab w:val="left" w:pos="0" w:leader="none"/>
        </w:tabs>
        <w:suppressAutoHyphens w:val="true"/>
        <w:overflowPunct w:val="true"/>
        <w:bidi w:val="0"/>
        <w:ind w:firstLine="567" w:left="0" w:right="0"/>
        <w:jc w:val="both"/>
        <w:rPr>
          <w:b/>
          <w:szCs w:val="28"/>
          <w:highlight w:val="none"/>
          <w:shd w:fill="auto" w:val="clear"/>
        </w:rPr>
      </w:pPr>
      <w:r>
        <w:rPr>
          <w:b/>
          <w:szCs w:val="28"/>
          <w:shd w:fill="auto" w:val="clear"/>
        </w:rPr>
      </w:r>
    </w:p>
    <w:p>
      <w:pPr>
        <w:pStyle w:val="ListParagraph"/>
        <w:tabs>
          <w:tab w:val="clear" w:pos="720"/>
          <w:tab w:val="left" w:pos="0" w:leader="none"/>
        </w:tabs>
        <w:suppressAutoHyphens w:val="true"/>
        <w:overflowPunct w:val="true"/>
        <w:bidi w:val="0"/>
        <w:ind w:firstLine="567" w:left="0" w:right="0"/>
        <w:jc w:val="both"/>
        <w:rPr>
          <w:highlight w:val="none"/>
          <w:shd w:fill="auto" w:val="clear"/>
        </w:rPr>
      </w:pPr>
      <w:r>
        <w:rPr>
          <w:b/>
          <w:szCs w:val="28"/>
          <w:shd w:fill="auto" w:val="clear"/>
        </w:rPr>
        <w:t>2. Основные направления  деятельности и итоги работы Контрольного органа в 2024 году</w:t>
      </w:r>
    </w:p>
    <w:p>
      <w:pPr>
        <w:pStyle w:val="Normal"/>
        <w:tabs>
          <w:tab w:val="clear" w:pos="720"/>
          <w:tab w:val="left" w:pos="0" w:leader="none"/>
        </w:tabs>
        <w:suppressAutoHyphens w:val="true"/>
        <w:overflowPunct w:val="true"/>
        <w:bidi w:val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В 2024 году внешний муниципальный финансовый контроль осуществлялся Контрольным органом в форме контрольных, экспертно-аналитических и иных мероприятий в соответствии с планом  работы Контрольного органа городского округа Красноуральск, утвержденным  распоряжением  Контрольного органа городского округа Красноуральск  от 12.12.2023 № 25 (далее – План работы на 2024 год).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  <w:lang w:eastAsia="en-US"/>
        </w:rPr>
        <w:t xml:space="preserve">В План работы  на 2024 год были включены  поручения Думы городского округа Красноуральск,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 xml:space="preserve">предложения  главы городского округа Красноуральск, </w:t>
      </w:r>
      <w:r>
        <w:rPr>
          <w:rFonts w:eastAsia="Calibri" w:cs="Times New Roman" w:ascii="Times New Roman" w:hAnsi="Times New Roman"/>
          <w:sz w:val="28"/>
          <w:szCs w:val="28"/>
          <w:shd w:fill="auto" w:val="clear"/>
          <w:lang w:eastAsia="en-US"/>
        </w:rPr>
        <w:t xml:space="preserve">предложение  Прокуратуры г. Красноуральска. По </w:t>
      </w:r>
      <w:r>
        <w:rPr>
          <w:rFonts w:eastAsia="Calibri" w:cs="Times New Roman" w:ascii="Times New Roman" w:hAnsi="Times New Roman"/>
          <w:color w:val="000000"/>
          <w:sz w:val="28"/>
          <w:szCs w:val="28"/>
          <w:shd w:fill="auto" w:val="clear"/>
          <w:lang w:eastAsia="en-US"/>
        </w:rPr>
        <w:t xml:space="preserve"> предложению Счетной палаты Свердловской области включено одно совместное  экспертно-аналитическое  мероприятие.  </w:t>
      </w:r>
      <w:r>
        <w:rPr>
          <w:rFonts w:eastAsia="Calibri" w:cs="Times New Roman" w:ascii="Times New Roman" w:hAnsi="Times New Roman"/>
          <w:sz w:val="28"/>
          <w:szCs w:val="28"/>
          <w:shd w:fill="auto" w:val="clear"/>
          <w:lang w:eastAsia="en-US"/>
        </w:rPr>
        <w:t xml:space="preserve">В связи с обращением начальника ОМВД России по г. Красноуральску запланировано проведение одного совместного контрольного мероприятия. 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04"/>
        <w:gridCol w:w="1979"/>
        <w:gridCol w:w="2732"/>
        <w:gridCol w:w="3321"/>
      </w:tblGrid>
      <w:tr>
        <w:trPr/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Предложения</w:t>
            </w:r>
          </w:p>
        </w:tc>
        <w:tc>
          <w:tcPr>
            <w:tcW w:w="2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Контрольные мероприятия</w:t>
            </w:r>
          </w:p>
        </w:tc>
        <w:tc>
          <w:tcPr>
            <w:tcW w:w="3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Экспертно-аналитические мероприятия</w:t>
            </w:r>
          </w:p>
        </w:tc>
      </w:tr>
      <w:tr>
        <w:trPr/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адресат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основание</w:t>
            </w:r>
          </w:p>
        </w:tc>
        <w:tc>
          <w:tcPr>
            <w:tcW w:w="27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jc w:val="center"/>
              <w:rPr>
                <w:b/>
                <w:bCs/>
                <w:highlight w:val="none"/>
                <w:shd w:fill="auto" w:val="clear"/>
              </w:rPr>
            </w:pPr>
            <w:r>
              <w:rPr>
                <w:b/>
                <w:bCs/>
                <w:shd w:fill="auto" w:val="clear"/>
              </w:rPr>
            </w:r>
          </w:p>
        </w:tc>
        <w:tc>
          <w:tcPr>
            <w:tcW w:w="33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jc w:val="center"/>
              <w:rPr>
                <w:b/>
                <w:bCs/>
                <w:highlight w:val="none"/>
                <w:shd w:fill="auto" w:val="clear"/>
              </w:rPr>
            </w:pPr>
            <w:r>
              <w:rPr>
                <w:b/>
                <w:bCs/>
                <w:shd w:fill="auto" w:val="clear"/>
              </w:rPr>
            </w:r>
          </w:p>
        </w:tc>
      </w:tr>
      <w:tr>
        <w:trPr/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Дума городского округа Красноуральск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поручение Думы городского округа Красноуральск – решение Думы городского округа Красноуральск от 30.11.2023 № 94</w:t>
            </w:r>
          </w:p>
        </w:tc>
        <w:tc>
          <w:tcPr>
            <w:tcW w:w="2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3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Анализ объема, структуры и обслуживания муниципального долга городского округа Красноуральск за период с 2021 года по 2023 год</w:t>
            </w:r>
          </w:p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Анализ исполнения представлений Контрольного органа, внесенных по результатам контрольного мероприятия 2023 года  «Проверка отдельных вопросов финансово-хозяйственной деятельности МУП «Красноуральское теплоснабжающее предприятие» за период 2020-2022 годов»</w:t>
            </w:r>
          </w:p>
        </w:tc>
      </w:tr>
      <w:tr>
        <w:trPr/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Глава городского округа Красноуральск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предложение главы городского округа Красноуральск от 27.11.2023  № 6887</w:t>
            </w:r>
          </w:p>
        </w:tc>
        <w:tc>
          <w:tcPr>
            <w:tcW w:w="2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Проверка законности и эффективности использования средств бюджета городского округа Красноуральск, выделенных в 2023 году на реализацию инициативного проекта «Творческая мастерская «Вернисажи под открытым небом»</w:t>
            </w:r>
          </w:p>
        </w:tc>
        <w:tc>
          <w:tcPr>
            <w:tcW w:w="3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Мониторинг действующих муниципальных правовых актов, регламентирующих предоставление субсидий из бюджета городского округа Красноуральск муниципальным учреждениям</w:t>
            </w:r>
          </w:p>
        </w:tc>
      </w:tr>
      <w:tr>
        <w:trPr/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Счетная палата Свердловской области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пункт 1.10. плана работы Счетной палаты Свердловской области</w:t>
            </w:r>
          </w:p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на 2024 год, утвержденного приказом председателя Счетной палаты</w:t>
            </w:r>
          </w:p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Свердловской области от 14.12.2023 № 01-02/28</w:t>
            </w:r>
          </w:p>
        </w:tc>
        <w:tc>
          <w:tcPr>
            <w:tcW w:w="27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3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Оценка качества организации и осуществления бюджетного процесса в муниципальных образованиях, расположенных на территории Свердловской области, связанного с планированием и исполнением бюджетов муниципальных образований в 2023 году (при необходимости — в более ранний период)</w:t>
            </w:r>
          </w:p>
        </w:tc>
      </w:tr>
      <w:tr>
        <w:trPr/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Прокуратура г. Красноуральска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предложение Прокуратуры г.Красноуральска от 01.12.2023 № 02-38-2023</w:t>
            </w:r>
          </w:p>
        </w:tc>
        <w:tc>
          <w:tcPr>
            <w:tcW w:w="273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Проверка законности и эффективности использования бюджетных средств, выделенных в 2021-2023 годах на закупку оборудования и укрепление материально-технической базы, на проведение работ по капитальному и текущему ремонту в муниципальных образовательных организациях, предоставленных в виде субсидий на иные цели в рамках реализации мероприятий муниципальной программы «Развитие системы образования в городском округе Красноуральск до 2025 года», с проведением аудита в сфере закупок</w:t>
            </w:r>
          </w:p>
        </w:tc>
        <w:tc>
          <w:tcPr>
            <w:tcW w:w="3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/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ОМВД России по г. Красноуральск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предложение ОМВД России по г. Красноуральск от 29.11.2023 № 19216</w:t>
            </w:r>
          </w:p>
        </w:tc>
        <w:tc>
          <w:tcPr>
            <w:tcW w:w="2732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3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9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/>
          <w:sz w:val="28"/>
          <w:szCs w:val="28"/>
          <w:shd w:fill="auto" w:val="clear"/>
        </w:rPr>
        <w:t xml:space="preserve">Деятельность Контрольного органа в отчетном году обеспечивала реализацию всех полномочий, установленных законодательством Российской </w:t>
      </w:r>
      <w:r>
        <w:rPr>
          <w:rFonts w:eastAsia="Calibri" w:cs="Times New Roman"/>
          <w:sz w:val="28"/>
          <w:szCs w:val="28"/>
          <w:shd w:fill="auto" w:val="clear"/>
          <w:lang w:val="ru-RU"/>
        </w:rPr>
        <w:t>Федерации и Свердловской области в отношении органов внешнего муниципального финансового контроля.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/>
          <w:sz w:val="28"/>
          <w:szCs w:val="28"/>
          <w:shd w:fill="auto" w:val="clear"/>
          <w:lang w:eastAsia="en-US"/>
        </w:rPr>
        <w:t>Все контрольные и экспертно-аналитические мероприятия, включенные в План работы 2024 года, исполнены в полном объеме.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/>
          <w:sz w:val="28"/>
          <w:szCs w:val="28"/>
          <w:shd w:fill="auto" w:val="clear"/>
          <w:lang w:eastAsia="en-US"/>
        </w:rPr>
        <w:t>В целях реализации бюджетных полномочий, установленных частью 2 статьи 157 БК РФ, Контрольным органом проводилась экспертиза проектов нормативных правовых актов городского округа Красноуральск, по результатам которой подготовлен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>ные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 xml:space="preserve"> заключения  направлены в адрес Думы городского округа Красноуральск, главы городского округа Красноуральск.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/>
          <w:sz w:val="28"/>
          <w:szCs w:val="28"/>
          <w:shd w:fill="auto" w:val="clear"/>
          <w:lang w:eastAsia="en-US"/>
        </w:rPr>
        <w:t xml:space="preserve">В целях реализации полномочий, предусмотренных статьей 98  Федерального закона  от 05.04.2013 № 44-ФЗ «О контрактной системе в сфере закупок товаров, работ, услуг для обеспечения государственных  (муниципальных) нужд», в 2024 году  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 xml:space="preserve">в рамках 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>контрольно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 xml:space="preserve">го 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>мероприяти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>я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 xml:space="preserve"> в муниципальных образовательных организациях городского округа Красноуральск 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 xml:space="preserve">проведен 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>аудит в сфере закупок.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/>
          <w:sz w:val="28"/>
          <w:szCs w:val="28"/>
          <w:shd w:fill="auto" w:val="clear"/>
          <w:lang w:eastAsia="en-US"/>
        </w:rPr>
        <w:t xml:space="preserve">Четыре 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 xml:space="preserve">проверки 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 xml:space="preserve"> из семи предусмотренных Планом работы на 2024 год,  проведены в формате экспертно-аналитических мероприятий. 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/>
          <w:sz w:val="28"/>
          <w:szCs w:val="28"/>
          <w:shd w:fill="auto" w:val="clear"/>
          <w:lang w:eastAsia="en-US"/>
        </w:rPr>
        <w:t>В адрес Думы городского округа Красноуральск и главы городского округа Красноуральск в течении 2024 года было направлено: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/>
          <w:sz w:val="28"/>
          <w:szCs w:val="28"/>
          <w:shd w:fill="auto" w:val="clear"/>
          <w:lang w:eastAsia="en-US"/>
        </w:rPr>
        <w:t>- 243 заключения по результатам экспертизы муниципальных правовых актов;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/>
          <w:sz w:val="28"/>
          <w:szCs w:val="28"/>
          <w:shd w:fill="auto" w:val="clear"/>
          <w:lang w:eastAsia="en-US"/>
        </w:rPr>
        <w:t>-  5 информаций об основных итогах  контрольных и  экспертно-аналитических мероприятий;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/>
          <w:sz w:val="28"/>
          <w:szCs w:val="28"/>
          <w:shd w:fill="auto" w:val="clear"/>
          <w:lang w:eastAsia="en-US"/>
        </w:rPr>
        <w:t>- 3 информации о ходе исполнения бюджета городского округа Красноуральск.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/>
          <w:strike w:val="false"/>
          <w:dstrike w:val="false"/>
          <w:sz w:val="28"/>
          <w:szCs w:val="28"/>
          <w:shd w:fill="auto" w:val="clear"/>
          <w:lang w:eastAsia="en-US"/>
        </w:rPr>
        <w:t>Для организации и осуществления деятельности Контрольного органа проводились необходимые организационные, правовые, кадровые, методологические, материально-технические  мероприятия.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strike/>
          <w:color w:val="auto"/>
          <w:highlight w:val="none"/>
          <w:shd w:fill="auto" w:val="clear"/>
        </w:rPr>
      </w:pPr>
      <w:r>
        <w:rPr>
          <w:strike/>
          <w:color w:val="000000"/>
          <w:shd w:fill="auto" w:val="clear"/>
        </w:rPr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b/>
          <w:bCs/>
          <w:i/>
          <w:iCs/>
          <w:color w:val="000000"/>
          <w:sz w:val="28"/>
          <w:szCs w:val="28"/>
          <w:shd w:fill="auto" w:val="clear"/>
        </w:rPr>
        <w:t>2.1. Результаты контрольных  и экспертно аналитических мероприятий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В течении 2024 года проведено 3</w:t>
      </w:r>
      <w:r>
        <w:rPr>
          <w:rStyle w:val="FootnoteReference"/>
          <w:rFonts w:eastAsia="Calibri"/>
          <w:color w:val="000000"/>
          <w:sz w:val="28"/>
          <w:szCs w:val="28"/>
          <w:shd w:fill="auto" w:val="clear"/>
          <w:lang w:eastAsia="en-US"/>
        </w:rPr>
        <w:footnoteReference w:id="2"/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контрольных мероприятий и 4 экспертно-аналитических мероприятия. 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Контрольные  мероприятия проводились Контрольным органом в органах местного самоуправления, в муниципальных учреждениях. Проверками было  охвачено 30 объектов.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Объем проверенных средств местного бюджета составил 997 722,1 тыс. руб</w:t>
      </w:r>
      <w:r>
        <w:rPr>
          <w:rStyle w:val="FootnoteReference"/>
          <w:rFonts w:eastAsia="Calibri"/>
          <w:color w:val="000000"/>
          <w:sz w:val="28"/>
          <w:szCs w:val="28"/>
          <w:shd w:fill="auto" w:val="clear"/>
          <w:lang w:eastAsia="en-US"/>
        </w:rPr>
        <w:footnoteReference w:id="3"/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., в том числе: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- в ходе контрольных мероприятий проверено средств бюджета в объеме  41 229,4 тыс. руб.;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- в ходе экспертно-аналитических мероприятий —956 492,7  тыс. руб.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За отчетный период установлено 276 единиц нарушений и недостатков, из которых 1 нарушени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е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имеет стоимостное выражение,  250 единиц  - нарушения процедурного характера,  26 единиц — недостатки в нормативно-правовом регулировании.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Общий объем нарушений, выявленных в результате проведения контрольных мероприятий в 2024 году, составил 9 243,1 тыс. руб.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Среди 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установленных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нарушений 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и недостатков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в соответствии с Классификатором нарушений, выявляемых Контрольным органом в ходе внешнего муниципального финансового контроля</w:t>
      </w:r>
      <w:r>
        <w:rPr>
          <w:rStyle w:val="FootnoteReference"/>
          <w:rFonts w:eastAsia="Calibri"/>
          <w:color w:val="000000"/>
          <w:sz w:val="28"/>
          <w:szCs w:val="28"/>
          <w:shd w:fill="auto" w:val="clear"/>
          <w:lang w:eastAsia="en-US"/>
        </w:rPr>
        <w:footnoteReference w:id="4"/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: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1) </w:t>
      </w:r>
      <w:r>
        <w:rPr>
          <w:rFonts w:eastAsia="Calibri"/>
          <w:i/>
          <w:color w:val="000000"/>
          <w:sz w:val="28"/>
          <w:szCs w:val="28"/>
          <w:shd w:fill="auto" w:val="clear"/>
          <w:lang w:eastAsia="en-US"/>
        </w:rPr>
        <w:t>нарушения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</w:t>
      </w:r>
      <w:r>
        <w:rPr>
          <w:rFonts w:eastAsia="Calibri"/>
          <w:i/>
          <w:color w:val="000000"/>
          <w:sz w:val="28"/>
          <w:szCs w:val="28"/>
          <w:shd w:fill="auto" w:val="clear"/>
          <w:lang w:eastAsia="en-US"/>
        </w:rPr>
        <w:t>при формировании и исполнении бюджетов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 - 202 нарушения на 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общую 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сумму 9 243,1 тыс. руб.  или 73,2 % от общего числа выявленных нарушений и недостатков;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2) </w:t>
      </w:r>
      <w:r>
        <w:rPr>
          <w:rFonts w:eastAsia="Calibri"/>
          <w:i/>
          <w:color w:val="000000"/>
          <w:sz w:val="28"/>
          <w:szCs w:val="28"/>
          <w:shd w:fill="auto" w:val="clear"/>
          <w:lang w:eastAsia="en-US"/>
        </w:rPr>
        <w:t>нарушения в сфере управления и распоряжения муниципальной собственностью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-  3 нарушения или 1,1 % от общего числа выявленных нарушений и недостатков;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4)  </w:t>
      </w:r>
      <w:r>
        <w:rPr>
          <w:rFonts w:eastAsia="Calibri"/>
          <w:i/>
          <w:color w:val="000000"/>
          <w:sz w:val="28"/>
          <w:szCs w:val="28"/>
          <w:shd w:fill="auto" w:val="clear"/>
          <w:lang w:eastAsia="en-US"/>
        </w:rPr>
        <w:t>нарушения законодательства в сфере  закупок товаров, работ, услуг для обеспечения муниципальных нужд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– 45 нарушений или 16,3% от общего числа выявленных нарушений и недостатков;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5) </w:t>
      </w:r>
      <w:r>
        <w:rPr>
          <w:rFonts w:eastAsia="Calibri"/>
          <w:i/>
          <w:color w:val="000000"/>
          <w:sz w:val="28"/>
          <w:szCs w:val="28"/>
          <w:shd w:fill="auto" w:val="clear"/>
          <w:lang w:eastAsia="en-US"/>
        </w:rPr>
        <w:t>иные нарушения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– 26 нарушений </w:t>
      </w:r>
      <w:r>
        <w:rPr>
          <w:rFonts w:eastAsia="Calibri"/>
          <w:b w:val="false"/>
          <w:bCs w:val="false"/>
          <w:color w:val="000000"/>
          <w:sz w:val="28"/>
          <w:szCs w:val="28"/>
          <w:shd w:fill="auto" w:val="clear"/>
          <w:lang w:eastAsia="en-US"/>
        </w:rPr>
        <w:t>или 9,4% от общего числа выявленных нарушений и недостатков.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b w:val="false"/>
          <w:bCs w:val="false"/>
          <w:color w:val="000000"/>
          <w:sz w:val="28"/>
          <w:szCs w:val="28"/>
          <w:shd w:fill="auto" w:val="clear"/>
          <w:lang w:eastAsia="en-US"/>
        </w:rPr>
        <w:t>Основными причинами допущенных нарушений послужили: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b w:val="false"/>
          <w:bCs w:val="false"/>
          <w:color w:val="000000"/>
          <w:sz w:val="28"/>
          <w:szCs w:val="28"/>
          <w:shd w:fill="auto" w:val="clear"/>
          <w:lang w:eastAsia="en-US"/>
        </w:rPr>
        <w:t>1) недостаточный уровень соблюдения действующего законодательства и муниципальных правовых актов;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b w:val="false"/>
          <w:bCs w:val="false"/>
          <w:color w:val="000000"/>
          <w:sz w:val="28"/>
          <w:szCs w:val="28"/>
          <w:shd w:fill="auto" w:val="clear"/>
          <w:lang w:eastAsia="en-US"/>
        </w:rPr>
        <w:t>2) отсутствие мониторинга федерального законодательства, законодательства Свердловской области и ревизии муниципальных правовых актов;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b w:val="false"/>
          <w:bCs w:val="false"/>
          <w:color w:val="000000"/>
          <w:sz w:val="28"/>
          <w:szCs w:val="28"/>
          <w:shd w:fill="auto" w:val="clear"/>
          <w:lang w:eastAsia="en-US"/>
        </w:rPr>
        <w:t>3) ненадлежащее исполнение полномочий главного распорядителя бюджетных средств;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b w:val="false"/>
          <w:bCs w:val="false"/>
          <w:color w:val="000000"/>
          <w:sz w:val="28"/>
          <w:szCs w:val="28"/>
          <w:shd w:fill="auto" w:val="clear"/>
          <w:lang w:eastAsia="en-US"/>
        </w:rPr>
        <w:t>4) отсутствие внутреннего финансового аудита, недостаточный уровень осуществления предварительного внутреннего финансового контроля.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Фактов нецелевого использования бюджетных средств в отчетном периоде не выявлено.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Основные показатели деятельности Контрольного органа за  2024 год представлены в Приложении  к настоящему Отчету.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Информация о результатах проведенных проверках представлена в Думу городского округа Красноуральск и главе городского округа Красноуральск.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 w:cs="Times New Roman"/>
          <w:b w:val="false"/>
          <w:b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/>
        </w:rPr>
        <w:t xml:space="preserve">По итогам проведенных контрольных и экспертно-аналитических мероприятий за отчетный период в адрес объектов контроля направлено 14 представлений,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/>
        </w:rPr>
        <w:t>1 предписание</w:t>
      </w:r>
      <w:r>
        <w:rPr>
          <w:rFonts w:eastAsia="Calibri" w:cs="Times New Roman"/>
          <w:b w:val="false"/>
          <w:b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/>
        </w:rPr>
        <w:t xml:space="preserve"> и 7 заключений, которые  содержали 110 предложения 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/>
        </w:rPr>
        <w:t>и рекомендаций, в том числе о совершенствовании нормативных правовых актов, о деятельности органов местного самоуправления и муниципальных  учреждений по осуществлению отдельных этапов бюджетного процесса,   об устранении и профилактике нарушений законодательства Российской Федерации о контрактной системе в сфере закупок.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Контрольным органом  на системной основе организован контроль за исполнением объектами контроля реализации результатов, проведенных контрольных и экспертно-аналитических мероприятий.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Так, с учетом выводов и предложений Контрольного органа,  объектами контроля приняты следующие меры: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- учреждениями внесены изменения в действующие нормативные правовые акты городского округа Красноуральск, локальные правовые акты учреждений – 39 единиц;</w:t>
      </w:r>
    </w:p>
    <w:p>
      <w:pPr>
        <w:pStyle w:val="Normal"/>
        <w:ind w:firstLine="567"/>
        <w:jc w:val="both"/>
        <w:rPr>
          <w:color w:val="auto"/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- </w:t>
      </w:r>
      <w:r>
        <w:rPr>
          <w:rFonts w:eastAsia="Calibri" w:cs="Times New Roman"/>
          <w:color w:val="000000"/>
          <w:sz w:val="28"/>
          <w:szCs w:val="28"/>
          <w:shd w:fill="auto" w:val="clear"/>
          <w:lang w:eastAsia="en-US"/>
        </w:rPr>
        <w:t xml:space="preserve"> привлечено к дисциплинарной ответственности  -</w:t>
      </w:r>
      <w:r>
        <w:rPr>
          <w:rFonts w:eastAsia="Calibri" w:cs="Times New Roman"/>
          <w:color w:val="000000"/>
          <w:sz w:val="28"/>
          <w:szCs w:val="28"/>
          <w:shd w:fill="auto" w:val="clear"/>
          <w:lang w:eastAsia="en-US"/>
        </w:rPr>
        <w:t xml:space="preserve"> </w:t>
      </w:r>
      <w:r>
        <w:rPr>
          <w:rFonts w:eastAsia="Calibri" w:cs="Times New Roman"/>
          <w:color w:val="000000"/>
          <w:sz w:val="28"/>
          <w:szCs w:val="28"/>
          <w:shd w:fill="auto" w:val="clear"/>
          <w:lang w:eastAsia="en-US"/>
        </w:rPr>
        <w:t xml:space="preserve">9 </w:t>
      </w:r>
      <w:r>
        <w:rPr>
          <w:rFonts w:eastAsia="Calibri" w:cs="Times New Roman"/>
          <w:color w:val="000000"/>
          <w:sz w:val="28"/>
          <w:szCs w:val="28"/>
          <w:shd w:fill="auto" w:val="clear"/>
          <w:lang w:eastAsia="en-US"/>
        </w:rPr>
        <w:t>чел</w:t>
      </w:r>
      <w:r>
        <w:rPr>
          <w:rFonts w:eastAsia="Calibri" w:cs="Times New Roman"/>
          <w:color w:val="000000"/>
          <w:sz w:val="28"/>
          <w:szCs w:val="28"/>
          <w:shd w:fill="auto" w:val="clear"/>
          <w:lang w:eastAsia="en-US"/>
        </w:rPr>
        <w:t>овек;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>- неустранимые замечания рассмотрены, приняты к сведению и учтены в работе.</w:t>
      </w:r>
    </w:p>
    <w:p>
      <w:pPr>
        <w:pStyle w:val="Normal"/>
        <w:tabs>
          <w:tab w:val="clear" w:pos="720"/>
          <w:tab w:val="left" w:pos="0" w:leader="none"/>
        </w:tabs>
        <w:spacing w:lineRule="auto" w:line="240"/>
        <w:ind w:firstLine="567" w:left="0" w:right="-1"/>
        <w:jc w:val="both"/>
        <w:rPr>
          <w:color w:val="auto"/>
          <w:highlight w:val="none"/>
          <w:shd w:fill="auto" w:val="clear"/>
        </w:rPr>
      </w:pPr>
      <w:r>
        <w:rPr>
          <w:rFonts w:eastAsia="Calibri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shd w:fill="auto" w:val="clear"/>
          <w:lang w:val="ru-RU" w:eastAsia="en-US"/>
        </w:rPr>
        <w:t xml:space="preserve">Информация о результатах контрольных и экспертно-аналитических  мероприятий своевременно размещалась  на сайте Контрольного органа.  Итоги проверок рассматривались на заседаниях Думы городского округа Красноуральск. </w:t>
      </w:r>
    </w:p>
    <w:p>
      <w:pPr>
        <w:pStyle w:val="Normal"/>
        <w:spacing w:lineRule="auto" w:line="240"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 w:cs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  <w:lang w:eastAsia="en-US" w:bidi="ru-RU"/>
        </w:rPr>
        <w:t>Н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en-US" w:bidi="ru-RU"/>
        </w:rPr>
        <w:t>а основании информации, полученной от объектов контроля,  оценивая полноту и своевременность принятия мер, Контрольным органом  принято решение о снятии с контроля 14 представлений и 1 предписания, внесенных объектам контроля в 2024 году. Но, следует отметить, что часть предложений по внесению изменений в нормативные правовые акты городского округа Красноуральск администрацией запланирована на первое полугодие 202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en-US" w:bidi="ru-RU"/>
        </w:rPr>
        <w:t>5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en-US" w:bidi="ru-RU"/>
        </w:rPr>
        <w:t xml:space="preserve"> года, таким образом, данные вопросы  </w:t>
      </w:r>
      <w:r>
        <w:rPr>
          <w:rFonts w:eastAsia="Calibri" w:cs="Times New Roman"/>
          <w:color w:val="000000"/>
          <w:sz w:val="28"/>
          <w:szCs w:val="28"/>
          <w:shd w:fill="auto" w:val="clear"/>
          <w:lang w:eastAsia="en-US" w:bidi="ru-RU"/>
        </w:rPr>
        <w:t xml:space="preserve">остаются на контроле до полного исполнения представлений.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eastAsia="Calibri"/>
          <w:b/>
          <w:bCs/>
          <w:i/>
          <w:iCs/>
          <w:color w:val="000000"/>
          <w:sz w:val="28"/>
          <w:szCs w:val="28"/>
          <w:shd w:fill="auto" w:val="clear"/>
          <w:lang w:eastAsia="en-US"/>
        </w:rPr>
        <w:t>2.2.  Итоги иных мероприятий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В соответствии со статьей 157 БК РФ Контрольным органом осуществлялась экспертиза проектов муниципальных правовых актов, включая проекты муниципальных программ (проекты изменений в муниципальные программы). Количество подготовленных  в 2024 году заключений  на проекты муниципальных правовых актов составило 243 ед</w:t>
      </w:r>
      <w:r>
        <w:rPr>
          <w:color w:val="000000"/>
          <w:sz w:val="28"/>
          <w:szCs w:val="28"/>
          <w:shd w:fill="auto" w:val="clear"/>
        </w:rPr>
        <w:t>иницы</w:t>
      </w:r>
      <w:r>
        <w:rPr>
          <w:color w:val="000000"/>
          <w:sz w:val="28"/>
          <w:szCs w:val="28"/>
          <w:shd w:fill="auto" w:val="clear"/>
        </w:rPr>
        <w:t>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Предметом экспертизы муниципальных правовых актов являлось наличие полномочий в применении тех или иных норм, правовые основания для установления расходных обязательств, их финансово-экономическое обоснование в увязке с обозначенными целями и прогнозными результатами.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Всего за отчетный период Контрольным органом проведена  экспертиза: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- 34 проектов решений Думы городского округа Красноуральск,  их них 17 проектов решений Думы о бюджете городского округа Красноуральск;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- 82 проекта постановлений администрации городского округа Красноуральск;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-   127  проектов муниципальных программ и изменений к ним.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Кроме того, в рамках мониторинга исполнения местного бюджета, подготовлена ежеквартальная информация  о ходе исполнения бюджета городского округа Красноуральск в 2024 году.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Из общего количества, поступивших в Контрольный орган проектов муниципальных правовых актов в количестве 243 ед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иниц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,  в  65 проектах (26,7%) отражены замечания и предложения Контрольного органа. В основном, замечания касались отсутствия или неполного финансово-экономического обоснования предлагаемых изменений.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Предложения Контрольного органа учитывались ответственными исполнителями при доработке проектов муниципальных правовых актов.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rFonts w:ascii="Times New Roman" w:hAnsi="Times New Roman" w:cs="Times New Roman"/>
          <w:b/>
          <w:color w:val="auto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  <w:shd w:fill="auto" w:val="clear"/>
        </w:rPr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  <w:shd w:fill="auto" w:val="clear"/>
        </w:rPr>
        <w:t>3. Обеспечение деятельности и взаимодействие Контрольного органа с органами внешнего государственного и муниципального контроля, органами местного самоуправления, органами прокуратуры и правоохранительными органами,  иными органами и организациями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В 2024 году взаимодействие со Счетной палатой Свердловской области и Советом органов внешнего финансового контроля Свердловской области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при Счетной палате Свердловской области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 Контрольным  органом осуществлялось в форме: </w:t>
      </w:r>
    </w:p>
    <w:p>
      <w:pPr>
        <w:pStyle w:val="ConsPlusNormal1"/>
        <w:widowControl w:val="false"/>
        <w:suppressAutoHyphens w:val="true"/>
        <w:overflowPunct w:val="true"/>
        <w:bidi w:val="0"/>
        <w:spacing w:before="0" w:after="0"/>
        <w:ind w:firstLine="567" w:left="0" w:right="0"/>
        <w:jc w:val="both"/>
        <w:rPr>
          <w:color w:val="auto"/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-  предоставления информации в соответствии с запросами;</w:t>
      </w:r>
    </w:p>
    <w:p>
      <w:pPr>
        <w:pStyle w:val="ConsPlusNormal1"/>
        <w:widowControl w:val="false"/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- участ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ия в аналитических мероприятиях (опросах), направленных на обобщение практики деятельности контрольно-счетных органов муниципальных образовани</w:t>
      </w:r>
      <w:r>
        <w:rPr>
          <w:rFonts w:cs="Times New Roman" w:ascii="Times New Roman" w:hAnsi="Times New Roman"/>
          <w:sz w:val="28"/>
          <w:szCs w:val="28"/>
          <w:shd w:fill="auto" w:val="clear"/>
          <w:lang w:val="ru-RU"/>
        </w:rPr>
        <w:t>й;</w:t>
      </w:r>
    </w:p>
    <w:p>
      <w:pPr>
        <w:pStyle w:val="ConsPlusNormal1"/>
        <w:widowControl w:val="false"/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:lang w:val="ru-RU"/>
        </w:rPr>
        <w:t xml:space="preserve">- участия в осуществлении совместного </w:t>
      </w:r>
      <w:r>
        <w:rPr>
          <w:rFonts w:cs="Times New Roman" w:ascii="Times New Roman" w:hAnsi="Times New Roman"/>
          <w:sz w:val="28"/>
          <w:szCs w:val="28"/>
          <w:shd w:fill="auto" w:val="clear"/>
          <w:lang w:val="ru-RU"/>
        </w:rPr>
        <w:t>экспертно-аналитического мероприятия</w:t>
      </w:r>
      <w:r>
        <w:rPr>
          <w:rFonts w:cs="Times New Roman" w:ascii="Times New Roman" w:hAnsi="Times New Roman"/>
          <w:sz w:val="28"/>
          <w:szCs w:val="28"/>
          <w:shd w:fill="auto" w:val="clear"/>
          <w:lang w:val="ru-RU"/>
        </w:rPr>
        <w:t xml:space="preserve"> со Счетной палатой Свердловской области;</w:t>
      </w:r>
    </w:p>
    <w:p>
      <w:pPr>
        <w:pStyle w:val="ConsPlusNormal1"/>
        <w:widowControl w:val="false"/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:lang w:val="ru-RU"/>
        </w:rPr>
        <w:t xml:space="preserve">-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участия в обучающих семинарах и совещаниях, организованных Счетной палатой Свердловской области в формате видеоконференции.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Контрольный орган при осуществлении своей деятельности взаимодействует с контрольно-счетными органами других муниципальных образований – обменивается информацией и консультациями по актуальным вопросам.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2024 году в соответствии с заключенными соглашениями с целью пресечения и предупреждения правонарушений в финансово-бюджетной сфере продолжалось сотрудничество Контрольного органа с Прокуратурой г.  Красноуральска, правоохранительными органами.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Результаты всех контрольных мероприятий направлены в Прокуратуру г. Красноуральска, </w:t>
      </w: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/>
        </w:rPr>
        <w:t>копия отчета о результатах совместного  контрольного мероприятия направлена в ОМВД России по г. Красноуральску.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Style w:val="FontStyle50"/>
          <w:rFonts w:eastAsia="Times New Roman" w:cs="Times New Roman" w:ascii="Times New Roman" w:hAnsi="Times New Roman"/>
          <w:sz w:val="28"/>
          <w:szCs w:val="28"/>
          <w:shd w:fill="auto" w:val="clear"/>
          <w:lang w:eastAsia="ru-RU"/>
        </w:rPr>
        <w:t>В целях взаимодействия органов местного самоуправления городского округа Красноуральск при реализации полномочий Контрольного органа по проведению  экспертизы проектов муниципальных правовых актов городского округа Красноуральск, решением Думы городского округа Красноуральск от 28.11.2019 № 215 утвержден Порядок реализации некоторых полномочий Контрольного органа городского округа Красноуральск.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firstLine="567" w:left="0" w:right="0"/>
        <w:jc w:val="both"/>
        <w:rPr/>
      </w:pPr>
      <w:r>
        <w:rPr>
          <w:rStyle w:val="FontStyle50"/>
          <w:rFonts w:eastAsia="Times New Roman" w:cs="Times New Roman"/>
          <w:sz w:val="28"/>
          <w:szCs w:val="28"/>
          <w:shd w:fill="auto" w:val="clear"/>
          <w:lang w:eastAsia="ru-RU"/>
        </w:rPr>
        <w:t>В 2024 году штатная численность Контрольного органа утверждена в количестве 4 единиц. На конец отчетного периода штат укомплектован полностью, вакансий нет. Фактическая численность сотрудников Контрольного органа составляет 4 единицы, в том числе: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/>
          <w:sz w:val="28"/>
          <w:szCs w:val="28"/>
          <w:shd w:fill="auto" w:val="clear"/>
          <w:lang w:eastAsia="ru-RU"/>
        </w:rPr>
        <w:t>-  лица, замещающие муниципальные должности — 1 единица;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firstLine="567" w:left="0" w:right="0"/>
        <w:jc w:val="both"/>
        <w:rPr/>
      </w:pPr>
      <w:r>
        <w:rPr>
          <w:rStyle w:val="FontStyle50"/>
          <w:rFonts w:eastAsia="Times New Roman" w:cs="Times New Roman"/>
          <w:sz w:val="28"/>
          <w:szCs w:val="28"/>
          <w:shd w:fill="auto" w:val="clear"/>
          <w:lang w:eastAsia="ru-RU"/>
        </w:rPr>
        <w:t>-  лица, замещающие должности муниципальной службы - 3 единицы.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bidi w:val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Все сотрудники Контрольного органа имеют высшее профессиональное образование (экономическое – 3 человека; юридическое – 1 человек).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bidi w:val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Регулярно проводятся информационно-образовательные мероприятия. Так, в 2024 году сотрудники  прошли  курсы повышения квалификации по следующим темам: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bidi w:val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«Контрактная система в сфере закупок товаров, работ, услуг для обеспечения государственных и муниципальных нужд»;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bidi w:val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«Управление муниципальными закупками»;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bidi w:val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«Местный бюджет: планирование, составление, исполнение».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соответствии с требованиями Федерального закона № 6-ФЗ  контрольная и экспертно-аналитическая деятельность Контрольного органа осуществляется на основании стандартов внешнего муниципального финансового контроля. Всего в Контрольном органе разработано 10 стандартов внешнего муниципального финансового контроля с целью обеспечения стандартизированного подхода в реализации контрольных полномочий, а также в проведении экспертизы нормативных правовых актов. Разработан и применяется в работе Классификатор нарушений, выявляемых Контрольным органом в ходе внешнего муниципального финансового контроля.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В отчетном периоде, с целью совершенствования нормативной базы, внесены изменения в  два стандарта внешнего муниципального финансового контроля.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дополнение к утвержденным стандартам сотрудники Контрольного органа  при осуществлении внешнего муниципального финансового контроля руководствуются методическими рекомендациями, разработанными Счетной палатой Свердловской области.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Документационное обеспечение деятельности Контрольного органа осуществляется в соответствии с Инструкцией по делопроизводству в Контрольном органе городского округа Красноуральск, утвержденной распоряжением Контрольного органа городского округа Красноуральск от 26.09.2019 № 17.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целях обеспечения порядка формирования и учета дел в делопроизводстве и обеспечении сохранности документов в отчетном периоде сформированы и переданы в архив документы в количестве 9  единиц за 2018 год. Проведена обработка дел за 2021 год, по результатам которой были сформированы описи дел по основной деятельности и личному составу в количестве 16 единиц. Отобраны и уничтожены утратившие практическое значение документы фонда Контрольного органа, срок хранения которых истек по состоянию на 01.01.2024.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Для реализации полномочий сотрудникам Контрольного органа предоставлен доступ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к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использовани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ю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следующих информационных систем: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>- единая государственная информационная система в сфере закупок (</w:t>
      </w:r>
      <w:hyperlink r:id="rId3">
        <w:r>
          <w:rPr>
            <w:rStyle w:val="Hyperlink"/>
            <w:rFonts w:cs="Times New Roman" w:ascii="Times New Roman" w:hAnsi="Times New Roman"/>
            <w:sz w:val="28"/>
            <w:szCs w:val="28"/>
            <w:shd w:fill="auto" w:val="clear"/>
            <w:lang w:val="en-US"/>
          </w:rPr>
          <w:t>https://zakupki.gov.ru</w:t>
        </w:r>
      </w:hyperlink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);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 xml:space="preserve">- </w:t>
      </w:r>
      <w:r>
        <w:rPr>
          <w:rFonts w:cs="Times New Roman" w:ascii="Times New Roman" w:hAnsi="Times New Roman"/>
          <w:sz w:val="28"/>
          <w:szCs w:val="28"/>
          <w:shd w:fill="auto" w:val="clear"/>
          <w:lang w:val="ru-RU"/>
        </w:rPr>
        <w:t>официальный сайт для размещения информации о государственных и муниципальных учреждениях (</w:t>
      </w:r>
      <w:hyperlink r:id="rId4">
        <w:r>
          <w:rPr>
            <w:rStyle w:val="Hyperlink"/>
            <w:rFonts w:cs="Times New Roman" w:ascii="Times New Roman" w:hAnsi="Times New Roman"/>
            <w:sz w:val="28"/>
            <w:szCs w:val="28"/>
            <w:shd w:fill="auto" w:val="clear"/>
            <w:lang w:val="en-US"/>
          </w:rPr>
          <w:t>https://bus.gov.ru</w:t>
        </w:r>
      </w:hyperlink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/).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Открытость деятельности Контрольного органа обеспечивается посредством функционирования в информационной сети «Интернет» официального сайта Контрольного органа, на котором размещается информация о деятельности Контрольного органа,  основные результаты проведенных мероприятий, планы деятельности, ежегодный отчет о деятельности Контрольного органа, информация о наиболее значимых мероприятиях.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социальной сети «ВКонтакте» создана официальная страница Контрольного органа городского округа Красноуральск.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4. Основные направления деятельности Контрольного органа на 2025  год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Основные направления деятельности Контрольного органа на 2025 год сформированы в соответствии с задачами и функциями, возложенными на Контрольный орган  БК РФ, Уставом, Положением о Контрольном органе  и отражены в Плане работы Контрольного органа городского округа Красноуральск на 2025 год,  сформированном с учетом поручений Думы городского округа Красноуральск, предложений главы городского округа Красноуральск и Прокуратуры г. Красноуральска.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При планировании работы на 2025 год предусматривалось проведение контрольных и экспертно-аналитических мероприятий с учетом системности и комплектности. Деятельность Контрольного органа будет направлена на контроль за эффективным и целевым расходование бюджетных средств.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  <w:lang w:val="ru-RU"/>
        </w:rPr>
        <w:t xml:space="preserve">В связи с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/>
        </w:rPr>
        <w:t xml:space="preserve">наделением с 01.01.2025 городского округа Красноуральск статусом муниципального округа на основании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50606"/>
          <w:spacing w:val="0"/>
          <w:sz w:val="28"/>
          <w:szCs w:val="28"/>
          <w:shd w:fill="auto" w:val="clear"/>
          <w:lang w:val="ru-RU"/>
        </w:rPr>
        <w:t xml:space="preserve"> Закона Свердловской области от 26.03.2024 № 24-ОЗ «О наделении отдельных городских округов, расположенных на территории Свердловской области, статусом муниципального округа»,   с 01.01.2025 Контрольный  органа городского округа Красноуральск переименован в   Счетную палату муниципального округа Красноуральск. Таким образом, в</w:t>
      </w:r>
      <w:r>
        <w:rPr>
          <w:rFonts w:ascii="Times New Roman" w:hAnsi="Times New Roman"/>
          <w:sz w:val="28"/>
          <w:szCs w:val="28"/>
          <w:shd w:fill="auto" w:val="clear"/>
          <w:lang w:val="ru-RU"/>
        </w:rPr>
        <w:t>ажными останутся  вопросы методологического и информационного обеспечения, актуализация стандартов финансового контроля.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true"/>
        <w:bidi w:val="0"/>
        <w:spacing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Будет продолжена работа по взаимодействию со Счетной палатой Свердловской области, с контрольно-счетными органами муниципальных образований Свердловской области,  с правоохранительными органами и органами прокуратуры, органами внутреннего финансового контроля  в рамках реализации заключенных соглашений о сотрудничестве.</w:t>
      </w:r>
    </w:p>
    <w:p>
      <w:pPr>
        <w:pStyle w:val="ConsPlusNormal1"/>
        <w:tabs>
          <w:tab w:val="clear" w:pos="720"/>
          <w:tab w:val="left" w:pos="0" w:leader="none"/>
        </w:tabs>
        <w:ind w:firstLine="709" w:left="0" w:right="0"/>
        <w:jc w:val="both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</w:r>
    </w:p>
    <w:sectPr>
      <w:headerReference w:type="even" r:id="rId5"/>
      <w:headerReference w:type="default" r:id="rId6"/>
      <w:headerReference w:type="first" r:id="rId7"/>
      <w:footerReference w:type="even" r:id="rId8"/>
      <w:footerReference w:type="default" r:id="rId9"/>
      <w:footerReference w:type="first" r:id="rId10"/>
      <w:footnotePr>
        <w:numFmt w:val="decimal"/>
      </w:footnotePr>
      <w:type w:val="nextPage"/>
      <w:pgSz w:w="11906" w:h="16838"/>
      <w:pgMar w:left="1418" w:right="851" w:gutter="0" w:header="720" w:top="1234" w:footer="851" w:bottom="136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ucida Grande">
    <w:altName w:val="Times New Roman"/>
    <w:charset w:val="cc"/>
    <w:family w:val="roman"/>
    <w:pitch w:val="variable"/>
  </w:font>
  <w:font w:name="Arial">
    <w:charset w:val="cc"/>
    <w:family w:val="swiss"/>
    <w:pitch w:val="variable"/>
  </w:font>
  <w:font w:name="TimesNewRoman">
    <w:altName w:val="Times New Roman"/>
    <w:charset w:val="cc"/>
    <w:family w:val="roman"/>
    <w:pitch w:val="variable"/>
  </w:font>
  <w:font w:name="TimesNewRomanPSMT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Consolas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left"/>
      <w:rPr/>
    </w:pPr>
    <w:bookmarkStart w:id="0" w:name="PageNumWizard_FOOTER_Базовый10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10</w:t>
    </w:r>
    <w:r>
      <w:rPr/>
      <w:fldChar w:fldCharType="end"/>
    </w:r>
    <w:bookmarkEnd w:id="0"/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bookmarkStart w:id="1" w:name="PageNumWizard_FOOTER_Базовый11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11</w:t>
    </w:r>
    <w:r>
      <w:rPr/>
      <w:fldChar w:fldCharType="end"/>
    </w:r>
    <w:bookmarkEnd w:id="1"/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EndnoteText"/>
        <w:rPr/>
      </w:pPr>
      <w:r>
        <w:rPr>
          <w:rStyle w:val="Style12"/>
        </w:rPr>
        <w:footnoteRef/>
      </w:r>
      <w:r>
        <w:rPr/>
        <w:t xml:space="preserve"> </w:t>
      </w:r>
      <w:r>
        <w:rPr/>
        <w:t>С учетом внешней проверки годового отчета об исполнении бюджета городского округа Красноуральск</w:t>
      </w:r>
    </w:p>
  </w:footnote>
  <w:footnote w:id="3">
    <w:p>
      <w:pPr>
        <w:pStyle w:val="FootnoteText"/>
        <w:rPr/>
      </w:pPr>
      <w:r>
        <w:rPr>
          <w:rStyle w:val="Style12"/>
        </w:rPr>
        <w:footnoteRef/>
      </w:r>
      <w:r>
        <w:rPr/>
        <w:t>Без учета внешней проверки годового отчета об исполнении бюджета городского округа Красноуральск</w:t>
      </w:r>
    </w:p>
  </w:footnote>
  <w:footnote w:id="4">
    <w:p>
      <w:pPr>
        <w:pStyle w:val="FootnoteText"/>
        <w:rPr/>
      </w:pPr>
      <w:r>
        <w:rPr>
          <w:rStyle w:val="Style12"/>
        </w:rPr>
        <w:footnoteRef/>
      </w:r>
      <w:r>
        <w:rPr/>
        <w:t xml:space="preserve"> </w:t>
      </w:r>
      <w:r>
        <w:rPr/>
        <w:t>Введен в действие распоряжением Контрольного органа городского округа Красноуральск от 03.10.2019 №21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lef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jc w:val="right"/>
      <w:rPr>
        <w:highlight w:val="none"/>
        <w:shd w:fill="auto" w:val="clear"/>
      </w:rPr>
    </w:pPr>
    <w:r>
      <w:rPr>
        <w:shd w:fill="auto" w:val="clear"/>
      </w:rPr>
      <w:t xml:space="preserve">УТВЕРЖДЕН </w:t>
    </w:r>
  </w:p>
  <w:p>
    <w:pPr>
      <w:pStyle w:val="Style32"/>
      <w:jc w:val="right"/>
      <w:rPr>
        <w:highlight w:val="none"/>
        <w:shd w:fill="auto" w:val="clear"/>
      </w:rPr>
    </w:pPr>
    <w:r>
      <w:rPr>
        <w:shd w:fill="auto" w:val="clear"/>
      </w:rPr>
      <w:t xml:space="preserve">распоряжением </w:t>
    </w:r>
    <w:r>
      <w:rPr>
        <w:shd w:fill="auto" w:val="clear"/>
        <w:lang w:val="ru-RU"/>
      </w:rPr>
      <w:t xml:space="preserve">Счетной палаты </w:t>
    </w:r>
  </w:p>
  <w:p>
    <w:pPr>
      <w:pStyle w:val="Style32"/>
      <w:jc w:val="right"/>
      <w:rPr>
        <w:highlight w:val="none"/>
        <w:shd w:fill="auto" w:val="clear"/>
      </w:rPr>
    </w:pPr>
    <w:r>
      <w:rPr>
        <w:shd w:fill="auto" w:val="clear"/>
      </w:rPr>
      <w:t xml:space="preserve">муниципального округа Красноуральск </w:t>
    </w:r>
  </w:p>
  <w:p>
    <w:pPr>
      <w:pStyle w:val="Style32"/>
      <w:jc w:val="right"/>
      <w:rPr>
        <w:highlight w:val="none"/>
        <w:shd w:fill="auto" w:val="clear"/>
      </w:rPr>
    </w:pPr>
    <w:r>
      <w:rPr>
        <w:shd w:fill="auto" w:val="clear"/>
      </w:rPr>
      <w:t>от 12.02.2025 № 7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360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libri Light" w:hAnsi="Calibri Light" w:eastAsia="Times New Roman" w:cs="Times New Roman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sz w:val="34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b/>
      <w:sz w:val="36"/>
    </w:rPr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/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Courier New" w:hAnsi="Courier New" w:cs="Courier New"/>
    </w:rPr>
  </w:style>
  <w:style w:type="character" w:styleId="WW8Num20z1">
    <w:name w:val="WW8Num20z1"/>
    <w:qFormat/>
    <w:rPr>
      <w:sz w:val="28"/>
      <w:szCs w:val="28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0">
    <w:name w:val="WW8Num22z0"/>
    <w:qFormat/>
    <w:rPr/>
  </w:style>
  <w:style w:type="character" w:styleId="WW8Num23z0">
    <w:name w:val="WW8Num23z0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/>
  </w:style>
  <w:style w:type="character" w:styleId="WW8Num28z0">
    <w:name w:val="WW8Num28z0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Symbol" w:hAnsi="Symbol" w:cs="Symbol"/>
    </w:rPr>
  </w:style>
  <w:style w:type="character" w:styleId="WW8Num29z1">
    <w:name w:val="WW8Num29z1"/>
    <w:qFormat/>
    <w:rPr>
      <w:rFonts w:ascii="Symbol" w:hAnsi="Symbol" w:cs="Symbol"/>
      <w:color w:val="000000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4">
    <w:name w:val="WW8Num29z4"/>
    <w:qFormat/>
    <w:rPr>
      <w:rFonts w:ascii="Courier New" w:hAnsi="Courier New" w:cs="Courier New"/>
    </w:rPr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/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4">
    <w:name w:val="WW8Num30z4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34z0">
    <w:name w:val="WW8Num34z0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3">
    <w:name w:val="WW8Num34z3"/>
    <w:qFormat/>
    <w:rPr>
      <w:rFonts w:ascii="Symbol" w:hAnsi="Symbol" w:cs="Symbol"/>
    </w:rPr>
  </w:style>
  <w:style w:type="character" w:styleId="WW8Num35z0">
    <w:name w:val="WW8Num35z0"/>
    <w:qFormat/>
    <w:rPr>
      <w:rFonts w:ascii="Wingdings" w:hAnsi="Wingdings" w:cs="Wingdings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3">
    <w:name w:val="WW8Num35z3"/>
    <w:qFormat/>
    <w:rPr>
      <w:rFonts w:ascii="Symbol" w:hAnsi="Symbol" w:cs="Symbol"/>
    </w:rPr>
  </w:style>
  <w:style w:type="character" w:styleId="WW8Num36z0">
    <w:name w:val="WW8Num36z0"/>
    <w:qFormat/>
    <w:rPr>
      <w:rFonts w:ascii="Courier New" w:hAnsi="Courier New" w:cs="Courier New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6z3">
    <w:name w:val="WW8Num36z3"/>
    <w:qFormat/>
    <w:rPr>
      <w:rFonts w:ascii="Symbol" w:hAnsi="Symbol" w:cs="Symbol"/>
    </w:rPr>
  </w:style>
  <w:style w:type="character" w:styleId="WW8Num37z0">
    <w:name w:val="WW8Num37z0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3">
    <w:name w:val="WW8Num37z3"/>
    <w:qFormat/>
    <w:rPr>
      <w:rFonts w:ascii="Symbol" w:hAnsi="Symbol" w:cs="Symbol"/>
    </w:rPr>
  </w:style>
  <w:style w:type="character" w:styleId="WW8Num38z0">
    <w:name w:val="WW8Num38z0"/>
    <w:qFormat/>
    <w:rPr/>
  </w:style>
  <w:style w:type="character" w:styleId="WW8Num39z0">
    <w:name w:val="WW8Num39z0"/>
    <w:qFormat/>
    <w:rPr>
      <w:rFonts w:ascii="Lucida Grande;Times New Roman" w:hAnsi="Lucida Grande;Times New Roman" w:cs="Times New Roman"/>
      <w:color w:val="000000"/>
      <w:sz w:val="27"/>
    </w:rPr>
  </w:style>
  <w:style w:type="character" w:styleId="WW8Num40z0">
    <w:name w:val="WW8Num40z0"/>
    <w:qFormat/>
    <w:rPr>
      <w:rFonts w:ascii="Symbol" w:hAnsi="Symbol" w:cs="Symbol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41z0">
    <w:name w:val="WW8Num41z0"/>
    <w:qFormat/>
    <w:rPr>
      <w:rFonts w:ascii="Courier New" w:hAnsi="Courier New" w:cs="Courier New"/>
    </w:rPr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1z3">
    <w:name w:val="WW8Num41z3"/>
    <w:qFormat/>
    <w:rPr>
      <w:rFonts w:ascii="Symbol" w:hAnsi="Symbol" w:cs="Symbol"/>
    </w:rPr>
  </w:style>
  <w:style w:type="character" w:styleId="WW8Num42z0">
    <w:name w:val="WW8Num42z0"/>
    <w:qFormat/>
    <w:rPr/>
  </w:style>
  <w:style w:type="character" w:styleId="Style11">
    <w:name w:val="Основной шрифт абзаца"/>
    <w:qFormat/>
    <w:rPr/>
  </w:style>
  <w:style w:type="character" w:styleId="PageNumber">
    <w:name w:val="page number"/>
    <w:basedOn w:val="Style11"/>
    <w:rPr/>
  </w:style>
  <w:style w:type="character" w:styleId="Strong">
    <w:name w:val="Strong"/>
    <w:qFormat/>
    <w:rPr>
      <w:b/>
      <w:bCs/>
    </w:rPr>
  </w:style>
  <w:style w:type="character" w:styleId="Style12">
    <w:name w:val="Символ сноски"/>
    <w:qFormat/>
    <w:rPr>
      <w:vertAlign w:val="superscript"/>
    </w:rPr>
  </w:style>
  <w:style w:type="character" w:styleId="1">
    <w:name w:val="Текст сноски Знак1"/>
    <w:qFormat/>
    <w:rPr>
      <w:lang w:val="ru-RU" w:bidi="ar-SA"/>
    </w:rPr>
  </w:style>
  <w:style w:type="character" w:styleId="FootnoteTextChar">
    <w:name w:val="Footnote Text Char"/>
    <w:qFormat/>
    <w:rPr>
      <w:lang w:val="ru-RU" w:bidi="ar-SA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Pr>
      <w:b/>
      <w:bCs/>
      <w:i w:val="false"/>
      <w:iCs w:val="false"/>
    </w:rPr>
  </w:style>
  <w:style w:type="character" w:styleId="st1">
    <w:name w:val="st1"/>
    <w:basedOn w:val="Style11"/>
    <w:qFormat/>
    <w:rPr/>
  </w:style>
  <w:style w:type="character" w:styleId="ConsPlusNormal">
    <w:name w:val="ConsPlusNormal Знак"/>
    <w:qFormat/>
    <w:rPr>
      <w:rFonts w:ascii="Arial" w:hAnsi="Arial" w:cs="Arial"/>
      <w:sz w:val="22"/>
      <w:szCs w:val="22"/>
      <w:lang w:val="ru-RU" w:bidi="ar-SA"/>
    </w:rPr>
  </w:style>
  <w:style w:type="character" w:styleId="2">
    <w:name w:val=" Знак Знак2"/>
    <w:qFormat/>
    <w:rPr>
      <w:lang w:val="ru-RU" w:bidi="ar-SA"/>
    </w:rPr>
  </w:style>
  <w:style w:type="character" w:styleId="Style13">
    <w:name w:val="Акты Знак"/>
    <w:qFormat/>
    <w:rPr>
      <w:sz w:val="28"/>
      <w:szCs w:val="28"/>
      <w:lang w:val="ru-RU" w:bidi="ar-SA"/>
    </w:rPr>
  </w:style>
  <w:style w:type="character" w:styleId="Style14">
    <w:name w:val="Основной текст_"/>
    <w:qFormat/>
    <w:rPr>
      <w:rFonts w:ascii="Times New Roman" w:hAnsi="Times New Roman" w:cs="Times New Roman"/>
      <w:sz w:val="23"/>
      <w:szCs w:val="23"/>
      <w:u w:val="none"/>
    </w:rPr>
  </w:style>
  <w:style w:type="character" w:styleId="fontstyle01">
    <w:name w:val="fontstyle01"/>
    <w:qFormat/>
    <w:rPr>
      <w:rFonts w:ascii="TimesNewRoman;Times New Roman" w:hAnsi="TimesNewRoman;Times New Roman" w:cs="TimesNewRoman;Times New Roman"/>
      <w:b w:val="false"/>
      <w:bCs w:val="false"/>
      <w:i w:val="false"/>
      <w:iCs w:val="false"/>
      <w:color w:val="000000"/>
      <w:sz w:val="28"/>
      <w:szCs w:val="28"/>
    </w:rPr>
  </w:style>
  <w:style w:type="character" w:styleId="fontstyle21">
    <w:name w:val="fontstyle21"/>
    <w:qFormat/>
    <w:rPr>
      <w:rFonts w:ascii="TimesNewRomanPSMT" w:hAnsi="TimesNewRomanPSMT" w:cs="TimesNewRomanPSMT"/>
      <w:b w:val="false"/>
      <w:bCs w:val="false"/>
      <w:i w:val="false"/>
      <w:iCs w:val="false"/>
      <w:color w:val="000000"/>
      <w:sz w:val="28"/>
      <w:szCs w:val="28"/>
    </w:rPr>
  </w:style>
  <w:style w:type="character" w:styleId="Style15">
    <w:name w:val=" Знак Знак"/>
    <w:qFormat/>
    <w:rPr>
      <w:lang w:val="ru-RU" w:bidi="ar-SA"/>
    </w:rPr>
  </w:style>
  <w:style w:type="character" w:styleId="Style16">
    <w:name w:val="Название Знак"/>
    <w:qFormat/>
    <w:rPr>
      <w:b/>
      <w:bCs/>
      <w:sz w:val="24"/>
      <w:szCs w:val="24"/>
      <w:lang w:val="ru-RU" w:bidi="ar-SA"/>
    </w:rPr>
  </w:style>
  <w:style w:type="character" w:styleId="Style17">
    <w:name w:val="Текст концевой сноски Знак"/>
    <w:basedOn w:val="Style11"/>
    <w:qFormat/>
    <w:rPr/>
  </w:style>
  <w:style w:type="character" w:styleId="Style18">
    <w:name w:val="Символ концевой сноски"/>
    <w:qFormat/>
    <w:rPr>
      <w:vertAlign w:val="superscript"/>
    </w:rPr>
  </w:style>
  <w:style w:type="character" w:styleId="Style19">
    <w:name w:val="Абзац списка Знак"/>
    <w:qFormat/>
    <w:rPr>
      <w:rFonts w:ascii="Arial" w:hAnsi="Arial" w:cs="Arial"/>
      <w:sz w:val="18"/>
      <w:szCs w:val="18"/>
    </w:rPr>
  </w:style>
  <w:style w:type="character" w:styleId="11">
    <w:name w:val="Заголовок 1 Знак"/>
    <w:qFormat/>
    <w:rPr>
      <w:rFonts w:ascii="Calibri Light" w:hAnsi="Calibri Light" w:eastAsia="Times New Roman" w:cs="Times New Roman"/>
      <w:b/>
      <w:bCs/>
      <w:kern w:val="2"/>
      <w:sz w:val="32"/>
      <w:szCs w:val="32"/>
    </w:rPr>
  </w:style>
  <w:style w:type="character" w:styleId="FontStyle50">
    <w:name w:val="Font Style50"/>
    <w:qFormat/>
    <w:rPr>
      <w:rFonts w:ascii="Times New Roman" w:hAnsi="Times New Roman" w:cs="Times New Roman"/>
      <w:sz w:val="26"/>
      <w:szCs w:val="26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20">
    <w:name w:val="Символ нумерации"/>
    <w:qFormat/>
    <w:rPr/>
  </w:style>
  <w:style w:type="character" w:styleId="FontStyle19">
    <w:name w:val="Font Style19"/>
    <w:qFormat/>
    <w:rPr>
      <w:rFonts w:ascii="Times New Roman" w:hAnsi="Times New Roman" w:cs="Times New Roman"/>
      <w:sz w:val="26"/>
      <w:szCs w:val="26"/>
    </w:rPr>
  </w:style>
  <w:style w:type="character" w:styleId="DefaultParagraphFont">
    <w:name w:val="Default Paragraph Font"/>
    <w:qFormat/>
    <w:rPr/>
  </w:style>
  <w:style w:type="character" w:styleId="s10">
    <w:name w:val="s_10"/>
    <w:basedOn w:val="DefaultParagraphFont"/>
    <w:qFormat/>
    <w:rPr/>
  </w:style>
  <w:style w:type="paragraph" w:styleId="Style21">
    <w:name w:val="Заголовок"/>
    <w:basedOn w:val="Normal"/>
    <w:next w:val="BodyText"/>
    <w:qFormat/>
    <w:pPr>
      <w:jc w:val="center"/>
    </w:pPr>
    <w:rPr>
      <w:b/>
      <w:bCs/>
      <w:sz w:val="24"/>
      <w:szCs w:val="24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ubtitle">
    <w:name w:val="Subtitle"/>
    <w:basedOn w:val="Normal"/>
    <w:next w:val="BodyText"/>
    <w:qFormat/>
    <w:pPr>
      <w:jc w:val="center"/>
    </w:pPr>
    <w:rPr>
      <w:b/>
      <w:sz w:val="40"/>
    </w:rPr>
  </w:style>
  <w:style w:type="paragraph" w:styleId="Style23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WW-">
    <w:name w:val="WW-Заголовок"/>
    <w:basedOn w:val="Normal"/>
    <w:next w:val="BodyText"/>
    <w:qFormat/>
    <w:pPr>
      <w:keepNext w:val="true"/>
      <w:suppressAutoHyphens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2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pPr/>
    <w:rPr/>
  </w:style>
  <w:style w:type="paragraph" w:styleId="Style25">
    <w:name w:val="Обычный (веб)"/>
    <w:basedOn w:val="Normal"/>
    <w:qFormat/>
    <w:pPr>
      <w:spacing w:before="100" w:after="100"/>
    </w:pPr>
    <w:rPr>
      <w:sz w:val="24"/>
      <w:szCs w:val="24"/>
    </w:rPr>
  </w:style>
  <w:style w:type="paragraph" w:styleId="ConsPlusNormal1">
    <w:name w:val="ConsPlusNormal"/>
    <w:qFormat/>
    <w:pPr>
      <w:widowControl w:val="false"/>
      <w:suppressAutoHyphens w:val="true"/>
      <w:overflowPunct w:val="true"/>
      <w:bidi w:val="0"/>
      <w:spacing w:before="0" w:after="0"/>
      <w:ind w:firstLine="720" w:left="0" w:right="0"/>
      <w:jc w:val="left"/>
    </w:pPr>
    <w:rPr>
      <w:rFonts w:ascii="Arial" w:hAnsi="Arial" w:eastAsia="Times New Roman" w:cs="Arial"/>
      <w:color w:val="auto"/>
      <w:kern w:val="0"/>
      <w:sz w:val="22"/>
      <w:szCs w:val="22"/>
      <w:lang w:val="ru-RU" w:eastAsia="zh-CN" w:bidi="ar-SA"/>
    </w:rPr>
  </w:style>
  <w:style w:type="paragraph" w:styleId="font6">
    <w:name w:val="font6"/>
    <w:basedOn w:val="Normal"/>
    <w:qFormat/>
    <w:pPr>
      <w:spacing w:before="100" w:after="100"/>
    </w:pPr>
    <w:rPr>
      <w:rFonts w:ascii="Tahoma" w:hAnsi="Tahoma" w:cs="Tahoma"/>
      <w:b/>
      <w:bCs/>
      <w:color w:val="000000"/>
      <w:sz w:val="16"/>
      <w:szCs w:val="16"/>
    </w:rPr>
  </w:style>
  <w:style w:type="paragraph" w:styleId="ListParagraph">
    <w:name w:val="List Paragraph"/>
    <w:basedOn w:val="Normal"/>
    <w:qFormat/>
    <w:pPr>
      <w:widowControl w:val="false"/>
      <w:spacing w:before="0" w:after="0"/>
      <w:ind w:hanging="0" w:left="720" w:right="0"/>
      <w:contextualSpacing/>
    </w:pPr>
    <w:rPr>
      <w:rFonts w:eastAsia="Calibri"/>
      <w:sz w:val="28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zh-CN" w:bidi="ar-SA"/>
    </w:rPr>
  </w:style>
  <w:style w:type="paragraph" w:styleId="Style26">
    <w:name w:val="Абзац списка"/>
    <w:basedOn w:val="Normal"/>
    <w:qFormat/>
    <w:pPr>
      <w:widowControl w:val="false"/>
      <w:ind w:hanging="0" w:left="708" w:right="0"/>
    </w:pPr>
    <w:rPr>
      <w:rFonts w:ascii="Arial" w:hAnsi="Arial" w:cs="Arial"/>
      <w:sz w:val="18"/>
      <w:szCs w:val="18"/>
    </w:rPr>
  </w:style>
  <w:style w:type="paragraph" w:styleId="Style27">
    <w:name w:val="Акты"/>
    <w:basedOn w:val="Normal"/>
    <w:qFormat/>
    <w:pPr>
      <w:ind w:firstLine="709" w:left="0" w:right="0"/>
      <w:jc w:val="both"/>
    </w:pPr>
    <w:rPr>
      <w:sz w:val="28"/>
      <w:szCs w:val="28"/>
    </w:rPr>
  </w:style>
  <w:style w:type="paragraph" w:styleId="Style28">
    <w:name w:val="Знак"/>
    <w:basedOn w:val="Normal"/>
    <w:qFormat/>
    <w:pPr/>
    <w:rPr>
      <w:rFonts w:ascii="Verdana" w:hAnsi="Verdana" w:cs="Verdana"/>
      <w:lang w:val="en-US"/>
    </w:rPr>
  </w:style>
  <w:style w:type="paragraph" w:styleId="EndnoteText">
    <w:name w:val="endnote text"/>
    <w:basedOn w:val="Normal"/>
    <w:pPr/>
    <w:rPr/>
  </w:style>
  <w:style w:type="paragraph" w:styleId="12">
    <w:name w:val="Абзац списка1"/>
    <w:basedOn w:val="Normal"/>
    <w:qFormat/>
    <w:pPr>
      <w:widowControl w:val="false"/>
      <w:spacing w:before="0" w:after="0"/>
      <w:ind w:hanging="0" w:left="720" w:right="0"/>
      <w:contextualSpacing/>
    </w:pPr>
    <w:rPr>
      <w:rFonts w:eastAsia="Calibri"/>
      <w:sz w:val="28"/>
    </w:rPr>
  </w:style>
  <w:style w:type="paragraph" w:styleId="Style61">
    <w:name w:val="Style6"/>
    <w:basedOn w:val="Normal"/>
    <w:qFormat/>
    <w:pPr>
      <w:widowControl w:val="false"/>
      <w:spacing w:lineRule="exact" w:line="308"/>
      <w:ind w:firstLine="706" w:left="0" w:right="0"/>
      <w:jc w:val="both"/>
    </w:pPr>
    <w:rPr>
      <w:sz w:val="24"/>
      <w:szCs w:val="24"/>
    </w:rPr>
  </w:style>
  <w:style w:type="paragraph" w:styleId="s1">
    <w:name w:val="s_1"/>
    <w:basedOn w:val="Normal"/>
    <w:qFormat/>
    <w:pPr>
      <w:spacing w:before="100" w:after="100"/>
    </w:pPr>
    <w:rPr>
      <w:sz w:val="24"/>
      <w:szCs w:val="24"/>
    </w:rPr>
  </w:style>
  <w:style w:type="paragraph" w:styleId="Style29">
    <w:name w:val="Содержимое таблицы"/>
    <w:basedOn w:val="Normal"/>
    <w:qFormat/>
    <w:pPr>
      <w:widowControl w:val="false"/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paragraph" w:styleId="Style31">
    <w:name w:val="Содержимое врезки"/>
    <w:basedOn w:val="Normal"/>
    <w:qFormat/>
    <w:pPr/>
    <w:rPr/>
  </w:style>
  <w:style w:type="paragraph" w:styleId="Style32">
    <w:name w:val="Верхний колонтитул слева"/>
    <w:basedOn w:val="Header"/>
    <w:qFormat/>
    <w:pPr>
      <w:suppressLineNumbers/>
      <w:tabs>
        <w:tab w:val="clear" w:pos="4677"/>
        <w:tab w:val="clear" w:pos="9355"/>
        <w:tab w:val="center" w:pos="4818" w:leader="none"/>
        <w:tab w:val="right" w:pos="9637" w:leader="none"/>
      </w:tabs>
    </w:pPr>
    <w:rPr/>
  </w:style>
  <w:style w:type="paragraph" w:styleId="Style33">
    <w:name w:val="Текст в заданном формате"/>
    <w:basedOn w:val="Normal"/>
    <w:qFormat/>
    <w:pPr>
      <w:spacing w:before="0" w:after="0"/>
    </w:pPr>
    <w:rPr>
      <w:rFonts w:ascii="Courier New" w:hAnsi="Courier New" w:eastAsia="MS PGothic" w:cs="Courier New"/>
      <w:sz w:val="20"/>
      <w:szCs w:val="20"/>
    </w:rPr>
  </w:style>
  <w:style w:type="paragraph" w:styleId="21">
    <w:name w:val="Основной текст (2)"/>
    <w:basedOn w:val="Normal"/>
    <w:qFormat/>
    <w:pPr>
      <w:widowControl w:val="false"/>
      <w:shd w:val="clear" w:fill="FFFFFF"/>
      <w:spacing w:lineRule="exact" w:line="326" w:before="660" w:after="0"/>
      <w:jc w:val="both"/>
    </w:pPr>
    <w:rPr>
      <w:rFonts w:ascii="Times New Roman" w:hAnsi="Times New Roman" w:cs="Times New Roman"/>
      <w:sz w:val="28"/>
      <w:szCs w:val="28"/>
    </w:rPr>
  </w:style>
  <w:style w:type="paragraph" w:styleId="empty">
    <w:name w:val="empty"/>
    <w:basedOn w:val="Normal"/>
    <w:qFormat/>
    <w:pPr>
      <w:spacing w:lineRule="auto" w:line="240" w:before="280" w:after="280"/>
    </w:pPr>
    <w:rPr>
      <w:sz w:val="24"/>
      <w:szCs w:val="24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zh-CN" w:bidi="ar-SA"/>
    </w:rPr>
  </w:style>
  <w:style w:type="paragraph" w:styleId="22">
    <w:name w:val="Основной текст2"/>
    <w:basedOn w:val="Normal"/>
    <w:qFormat/>
    <w:pPr>
      <w:widowControl w:val="false"/>
      <w:shd w:val="clear" w:fill="FFFFFF"/>
      <w:spacing w:lineRule="exact" w:line="322" w:before="420" w:after="300"/>
      <w:jc w:val="both"/>
    </w:pPr>
    <w:rPr>
      <w:rFonts w:ascii="Times New Roman" w:hAnsi="Times New Roman" w:eastAsia="Times New Roman" w:cs="Times New Roman"/>
      <w:color w:val="000000"/>
      <w:sz w:val="27"/>
      <w:szCs w:val="27"/>
      <w:lang w:val="ru-RU"/>
    </w:rPr>
  </w:style>
  <w:style w:type="paragraph" w:styleId="Footer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PlainText">
    <w:name w:val="Plain Text"/>
    <w:basedOn w:val="Normal"/>
    <w:qFormat/>
    <w:pPr/>
    <w:rPr>
      <w:rFonts w:ascii="Consolas" w:hAnsi="Consolas" w:eastAsia="Calibri"/>
      <w:sz w:val="21"/>
      <w:szCs w:val="21"/>
    </w:rPr>
  </w:style>
  <w:style w:type="paragraph" w:styleId="Style34">
    <w:name w:val="Style3"/>
    <w:basedOn w:val="Normal"/>
    <w:qFormat/>
    <w:pPr>
      <w:widowControl w:val="false"/>
      <w:spacing w:lineRule="exact" w:line="322" w:before="0" w:after="0"/>
      <w:ind w:firstLine="562" w:left="0" w:right="0"/>
      <w:jc w:val="both"/>
    </w:pPr>
    <w:rPr>
      <w:rFonts w:ascii="Times New Roman" w:hAnsi="Times New Roman" w:cs="Times New Roman"/>
      <w:sz w:val="24"/>
      <w:szCs w:val="24"/>
    </w:rPr>
  </w:style>
  <w:style w:type="paragraph" w:styleId="s15">
    <w:name w:val="s_15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zakupki.gov.ru/" TargetMode="External"/><Relationship Id="rId4" Type="http://schemas.openxmlformats.org/officeDocument/2006/relationships/hyperlink" Target="https://zakupki.gov.ru/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footnotes" Target="footnotes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3806</TotalTime>
  <Application>LibreOffice/24.8.4.2$Windows_X86_64 LibreOffice_project/bb3cfa12c7b1bf994ecc5649a80400d06cd71002</Application>
  <AppVersion>15.0000</AppVersion>
  <Pages>11</Pages>
  <Words>2514</Words>
  <Characters>18989</Characters>
  <CharactersWithSpaces>21501</CharactersWithSpaces>
  <Paragraphs>157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2022-02-03T14:07:00Z</dcterms:created>
  <dc:creator>User</dc:creator>
  <dc:description/>
  <dc:language>ru-RU</dc:language>
  <cp:lastModifiedBy/>
  <cp:lastPrinted>2025-02-13T08:58:42Z</cp:lastPrinted>
  <dcterms:modified xsi:type="dcterms:W3CDTF">2025-02-13T10:04:28Z</dcterms:modified>
  <cp:revision>155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